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2A46D" w14:textId="77777777" w:rsidR="001E4D86" w:rsidRPr="001E4D86" w:rsidRDefault="001E4D86" w:rsidP="001E4D86">
      <w:pPr>
        <w:spacing w:after="0" w:line="360" w:lineRule="auto"/>
        <w:jc w:val="center"/>
        <w:rPr>
          <w:b/>
          <w:bCs/>
        </w:rPr>
      </w:pPr>
      <w:r w:rsidRPr="001E4D86">
        <w:rPr>
          <w:b/>
          <w:bCs/>
        </w:rPr>
        <w:t>Pedido de esclarecimento nº 0</w:t>
      </w:r>
      <w:r w:rsidRPr="001E4D86">
        <w:rPr>
          <w:b/>
          <w:bCs/>
        </w:rPr>
        <w:t>2</w:t>
      </w:r>
    </w:p>
    <w:p w14:paraId="6E941C59" w14:textId="54401B3C" w:rsidR="001E4D86" w:rsidRPr="001E4D86" w:rsidRDefault="001E4D86" w:rsidP="001E4D86">
      <w:pPr>
        <w:spacing w:after="0" w:line="360" w:lineRule="auto"/>
        <w:jc w:val="center"/>
        <w:rPr>
          <w:b/>
          <w:bCs/>
        </w:rPr>
      </w:pPr>
      <w:r w:rsidRPr="001E4D86">
        <w:rPr>
          <w:b/>
          <w:bCs/>
        </w:rPr>
        <w:t>Pregão Eletrônico Nº 002/2024</w:t>
      </w:r>
    </w:p>
    <w:p w14:paraId="6C1ECB7F" w14:textId="77777777" w:rsidR="001E4D86" w:rsidRDefault="001E4D86" w:rsidP="001E4D86">
      <w:pPr>
        <w:spacing w:after="0" w:line="360" w:lineRule="auto"/>
        <w:jc w:val="both"/>
      </w:pPr>
    </w:p>
    <w:p w14:paraId="4E5117C0" w14:textId="77777777" w:rsidR="001E4D86" w:rsidRDefault="001E4D86" w:rsidP="001E4D86">
      <w:pPr>
        <w:spacing w:after="0" w:line="360" w:lineRule="auto"/>
        <w:jc w:val="both"/>
      </w:pPr>
      <w:r w:rsidRPr="001E4D86">
        <w:rPr>
          <w:b/>
          <w:bCs/>
        </w:rPr>
        <w:t>Processo SEI: 163.00000139/2023-11</w:t>
      </w:r>
      <w:r>
        <w:t xml:space="preserve"> </w:t>
      </w:r>
    </w:p>
    <w:p w14:paraId="2B9383C1" w14:textId="77777777" w:rsidR="001E4D86" w:rsidRDefault="001E4D86" w:rsidP="001E4D86">
      <w:pPr>
        <w:spacing w:after="0" w:line="360" w:lineRule="auto"/>
        <w:jc w:val="both"/>
      </w:pPr>
      <w:r w:rsidRPr="001E4D86">
        <w:rPr>
          <w:b/>
          <w:bCs/>
        </w:rPr>
        <w:t>Objeto: Contratação de serviços de fornecimento de combustível e gerenciamento de abastecimento da frota da Fundação ITESP.</w:t>
      </w:r>
      <w:r>
        <w:t xml:space="preserve"> </w:t>
      </w:r>
    </w:p>
    <w:p w14:paraId="045EF9C5" w14:textId="77777777" w:rsidR="001E4D86" w:rsidRDefault="001E4D86" w:rsidP="001E4D86">
      <w:pPr>
        <w:spacing w:after="0" w:line="360" w:lineRule="auto"/>
        <w:jc w:val="both"/>
      </w:pPr>
    </w:p>
    <w:p w14:paraId="02C077E2" w14:textId="002E3EE9" w:rsidR="001E4D86" w:rsidRDefault="001E4D86" w:rsidP="001E4D86">
      <w:pPr>
        <w:spacing w:after="0" w:line="360" w:lineRule="auto"/>
        <w:jc w:val="both"/>
      </w:pPr>
      <w:r>
        <w:t>1 – FATURAS/NOTAS FISCAIS</w:t>
      </w:r>
    </w:p>
    <w:p w14:paraId="045DF57D" w14:textId="1670B03E" w:rsidR="001E4D86" w:rsidRDefault="001E4D86" w:rsidP="001E4D86">
      <w:pPr>
        <w:spacing w:after="0" w:line="360" w:lineRule="auto"/>
        <w:jc w:val="both"/>
      </w:pPr>
      <w:r>
        <w:t xml:space="preserve"> ESCLARECIMENTO AO PREGOEIRO: Referente a emissão de Faturas e Notas fiscais, entendemos que a Rede credenciada emitirá a nota fiscal referente ao consumo feito pelo Contratante. Sendo assim, a Gerenciadora somente emitirá uma fatura referente ao FECHAMENTO do período deste consumo, dispensando-se, então, a emissão de nota fiscal pela Contratada. Estamos certos do entendimento?</w:t>
      </w:r>
    </w:p>
    <w:p w14:paraId="3D25ABCC" w14:textId="77777777" w:rsidR="001E4D86" w:rsidRDefault="001E4D86" w:rsidP="001E4D86">
      <w:pPr>
        <w:spacing w:after="0" w:line="360" w:lineRule="auto"/>
        <w:jc w:val="both"/>
      </w:pPr>
    </w:p>
    <w:p w14:paraId="7A909C19" w14:textId="43C24C9E" w:rsidR="001E4D86" w:rsidRDefault="001E4D86" w:rsidP="001E4D86">
      <w:pPr>
        <w:spacing w:after="0" w:line="360" w:lineRule="auto"/>
        <w:jc w:val="both"/>
      </w:pPr>
      <w:r>
        <w:t xml:space="preserve">2- </w:t>
      </w:r>
      <w:r>
        <w:t>BOLETOS</w:t>
      </w:r>
    </w:p>
    <w:p w14:paraId="66AF27A0" w14:textId="5369156A" w:rsidR="001E4D86" w:rsidRDefault="001E4D86" w:rsidP="001E4D86">
      <w:pPr>
        <w:spacing w:after="0" w:line="360" w:lineRule="auto"/>
        <w:jc w:val="both"/>
      </w:pPr>
      <w:r>
        <w:t xml:space="preserve"> ESCLARECIMENTO AO PREGOEIRO: Para viabilizar a pronta identificação de pagamentos e, assim, evitar transtornos com seus clientes, iremos disponibilizar (no momento do faturamento) boletos que não expiram, os quais poderão ser pagos parcialmente sem que haja alteração no código de barras. Além disso, não sofrerão correção monetária, – poderão ser pagos no valor principal, com as devidas retenções – pois, se houver encargos, isso será tratado posteriormente. Diante do exposto acima, atendemos a forma de pagamento?</w:t>
      </w:r>
    </w:p>
    <w:p w14:paraId="689020AE" w14:textId="77777777" w:rsidR="001E4D86" w:rsidRDefault="001E4D86" w:rsidP="001E4D86">
      <w:pPr>
        <w:spacing w:after="0" w:line="360" w:lineRule="auto"/>
        <w:jc w:val="both"/>
      </w:pPr>
    </w:p>
    <w:p w14:paraId="65E829BE" w14:textId="2DF54252" w:rsidR="001E4D86" w:rsidRDefault="001E4D86" w:rsidP="001E4D86">
      <w:pPr>
        <w:spacing w:after="0" w:line="360" w:lineRule="auto"/>
        <w:jc w:val="both"/>
      </w:pPr>
      <w:r>
        <w:t xml:space="preserve"> </w:t>
      </w:r>
      <w:r>
        <w:t xml:space="preserve">3 - </w:t>
      </w:r>
      <w:r>
        <w:t>AMOSTRA DE SISTEMA</w:t>
      </w:r>
    </w:p>
    <w:p w14:paraId="0924B414" w14:textId="158BAE1B" w:rsidR="001E4D86" w:rsidRPr="001E4D86" w:rsidRDefault="001E4D86" w:rsidP="001E4D86">
      <w:pPr>
        <w:spacing w:after="0" w:line="360" w:lineRule="auto"/>
        <w:jc w:val="both"/>
        <w:rPr>
          <w:i/>
          <w:iCs/>
        </w:rPr>
      </w:pPr>
      <w:proofErr w:type="gramStart"/>
      <w:r w:rsidRPr="001E4D86">
        <w:rPr>
          <w:i/>
          <w:iCs/>
        </w:rPr>
        <w:t>“</w:t>
      </w:r>
      <w:r w:rsidRPr="001E4D86">
        <w:rPr>
          <w:i/>
          <w:iCs/>
        </w:rPr>
        <w:t xml:space="preserve"> 7.15.1</w:t>
      </w:r>
      <w:proofErr w:type="gramEnd"/>
      <w:r w:rsidRPr="001E4D86">
        <w:rPr>
          <w:i/>
          <w:iCs/>
        </w:rPr>
        <w:t xml:space="preserve">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584BB9B1" w14:textId="77777777" w:rsidR="001E4D86" w:rsidRPr="001E4D86" w:rsidRDefault="001E4D86" w:rsidP="001E4D86">
      <w:pPr>
        <w:spacing w:after="0" w:line="360" w:lineRule="auto"/>
        <w:jc w:val="both"/>
        <w:rPr>
          <w:i/>
          <w:iCs/>
        </w:rPr>
      </w:pPr>
      <w:r w:rsidRPr="001E4D86">
        <w:rPr>
          <w:i/>
          <w:iCs/>
        </w:rPr>
        <w:t>7.15.2 Os resultados das avaliações serão divulgados por meio de mensagem no sistema.</w:t>
      </w:r>
    </w:p>
    <w:p w14:paraId="15B174D6" w14:textId="77777777" w:rsidR="001E4D86" w:rsidRPr="001E4D86" w:rsidRDefault="001E4D86" w:rsidP="001E4D86">
      <w:pPr>
        <w:spacing w:after="0" w:line="360" w:lineRule="auto"/>
        <w:jc w:val="both"/>
        <w:rPr>
          <w:i/>
          <w:iCs/>
        </w:rPr>
      </w:pPr>
      <w:r w:rsidRPr="001E4D86">
        <w:rPr>
          <w:i/>
          <w:iCs/>
        </w:rPr>
        <w:lastRenderedPageBreak/>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3677DC0D" w14:textId="77777777" w:rsidR="001E4D86" w:rsidRPr="001E4D86" w:rsidRDefault="001E4D86" w:rsidP="001E4D86">
      <w:pPr>
        <w:spacing w:after="0" w:line="360" w:lineRule="auto"/>
        <w:jc w:val="both"/>
        <w:rPr>
          <w:i/>
          <w:iCs/>
        </w:rPr>
      </w:pPr>
      <w:r w:rsidRPr="001E4D86">
        <w:rPr>
          <w:i/>
          <w:iCs/>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06720813" w14:textId="77777777" w:rsidR="001E4D86" w:rsidRPr="001E4D86" w:rsidRDefault="001E4D86" w:rsidP="001E4D86">
      <w:pPr>
        <w:spacing w:after="0" w:line="360" w:lineRule="auto"/>
        <w:jc w:val="both"/>
        <w:rPr>
          <w:i/>
          <w:iCs/>
        </w:rPr>
      </w:pPr>
      <w:r w:rsidRPr="001E4D86">
        <w:rPr>
          <w:i/>
          <w:iCs/>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7815E698" w14:textId="580928C1" w:rsidR="001E4D86" w:rsidRPr="001E4D86" w:rsidRDefault="001E4D86" w:rsidP="001E4D86">
      <w:pPr>
        <w:spacing w:after="0" w:line="360" w:lineRule="auto"/>
        <w:jc w:val="both"/>
        <w:rPr>
          <w:i/>
          <w:iCs/>
        </w:rPr>
      </w:pPr>
      <w:r w:rsidRPr="001E4D86">
        <w:rPr>
          <w:i/>
          <w:iCs/>
        </w:rPr>
        <w:t>7.15.4.1 No caso de desclassificação do licitante, o pregoeiro convocará o próximo licitante, obedecida a ordem de classificação, sucessivamente, até que um licitante cumpra os requisitos e funcionalidades previstas na prova de conceito.</w:t>
      </w:r>
      <w:r w:rsidRPr="001E4D86">
        <w:rPr>
          <w:i/>
          <w:iCs/>
        </w:rPr>
        <w:t>”</w:t>
      </w:r>
    </w:p>
    <w:p w14:paraId="396E0CDA" w14:textId="77777777" w:rsidR="001E4D86" w:rsidRDefault="001E4D86" w:rsidP="001E4D86">
      <w:pPr>
        <w:spacing w:after="0" w:line="360" w:lineRule="auto"/>
        <w:jc w:val="both"/>
      </w:pPr>
    </w:p>
    <w:p w14:paraId="4DEFCD7A" w14:textId="77777777" w:rsidR="001E4D86" w:rsidRDefault="001E4D86" w:rsidP="001E4D86">
      <w:pPr>
        <w:spacing w:after="0" w:line="360" w:lineRule="auto"/>
        <w:jc w:val="both"/>
      </w:pPr>
      <w:r>
        <w:t>ESCLARECIMENTO AO PREGOEIRO: Já que não haverá fornecimento de amostra física tendo em vista o objeto a ser contratado entendemos que devemos realizar apresentação do sistema será concedido o prazo mínimo de 05 (cinco) dias, contados a partir da declaração de vencedor, para realização da apresentação do sistema informatizado e apresentação da documentação elencada em seus subitens. Estamos corretos em nosso entendimento?</w:t>
      </w:r>
    </w:p>
    <w:p w14:paraId="03AAA9B3" w14:textId="77777777" w:rsidR="001E4D86" w:rsidRDefault="001E4D86" w:rsidP="001E4D86">
      <w:pPr>
        <w:spacing w:after="0" w:line="360" w:lineRule="auto"/>
        <w:jc w:val="both"/>
      </w:pPr>
    </w:p>
    <w:p w14:paraId="005A12BE" w14:textId="1348B883" w:rsidR="001E4D86" w:rsidRDefault="001E4D86" w:rsidP="001E4D86">
      <w:pPr>
        <w:spacing w:after="0" w:line="360" w:lineRule="auto"/>
        <w:jc w:val="both"/>
      </w:pPr>
      <w:r>
        <w:t xml:space="preserve"> </w:t>
      </w:r>
      <w:r>
        <w:t xml:space="preserve">4 - </w:t>
      </w:r>
      <w:r>
        <w:t>DISTÂNCIA ENTRE OS POSTOS</w:t>
      </w:r>
    </w:p>
    <w:p w14:paraId="33942B95" w14:textId="35248D50" w:rsidR="001E4D86" w:rsidRPr="001E4D86" w:rsidRDefault="001E4D86" w:rsidP="001E4D86">
      <w:pPr>
        <w:spacing w:after="0" w:line="360" w:lineRule="auto"/>
        <w:jc w:val="both"/>
        <w:rPr>
          <w:i/>
          <w:iCs/>
        </w:rPr>
      </w:pPr>
      <w:r w:rsidRPr="001E4D86">
        <w:rPr>
          <w:i/>
          <w:iCs/>
        </w:rPr>
        <w:t xml:space="preserve"> </w:t>
      </w:r>
      <w:r w:rsidRPr="001E4D86">
        <w:rPr>
          <w:i/>
          <w:iCs/>
        </w:rPr>
        <w:t>“</w:t>
      </w:r>
      <w:r w:rsidRPr="001E4D86">
        <w:rPr>
          <w:i/>
          <w:iCs/>
        </w:rPr>
        <w:t>6.10.6 - Deverão existir ainda, postos credenciados, nos percursos entre todos os escritórios regionais e a Sede da Fundação ITESP, obedecendo no mínimo uma distância máxima de 200 km de um posto a outro.</w:t>
      </w:r>
      <w:r w:rsidRPr="001E4D86">
        <w:rPr>
          <w:i/>
          <w:iCs/>
        </w:rPr>
        <w:t>”</w:t>
      </w:r>
    </w:p>
    <w:p w14:paraId="5658C912" w14:textId="77777777" w:rsidR="001E4D86" w:rsidRDefault="001E4D86" w:rsidP="001E4D86">
      <w:pPr>
        <w:spacing w:after="0" w:line="360" w:lineRule="auto"/>
        <w:jc w:val="both"/>
      </w:pPr>
    </w:p>
    <w:p w14:paraId="27269E7E" w14:textId="77777777" w:rsidR="001E4D86" w:rsidRDefault="001E4D86" w:rsidP="001E4D86">
      <w:pPr>
        <w:spacing w:after="0" w:line="360" w:lineRule="auto"/>
        <w:jc w:val="both"/>
      </w:pPr>
      <w:r>
        <w:t xml:space="preserve"> </w:t>
      </w:r>
    </w:p>
    <w:p w14:paraId="0F9B1148" w14:textId="77777777" w:rsidR="001E4D86" w:rsidRDefault="001E4D86" w:rsidP="001E4D86">
      <w:pPr>
        <w:spacing w:after="0" w:line="360" w:lineRule="auto"/>
        <w:jc w:val="both"/>
      </w:pPr>
    </w:p>
    <w:p w14:paraId="54DF6255" w14:textId="4AF2B1E6" w:rsidR="001E4D86" w:rsidRDefault="001E4D86" w:rsidP="001E4D86">
      <w:pPr>
        <w:spacing w:after="0" w:line="360" w:lineRule="auto"/>
        <w:jc w:val="both"/>
      </w:pPr>
      <w:r>
        <w:lastRenderedPageBreak/>
        <w:t>ESCLARECIMENTO AO PREGOEIRO: Considerando que a distância de 100 km entre postos pode ser considerada excessiva e passível de impugnação, haja vista que um veículo com tanque cheio percorre em média a distância de 400 km e visando a ampliação da competitividade do certame e a busca da melhor proposta para o Instituto, podemos considerar a distância de 250 km entre postos ao invés de 100 km como descrito no item em comento?</w:t>
      </w:r>
    </w:p>
    <w:p w14:paraId="6B2E2342" w14:textId="77777777" w:rsidR="001E4D86" w:rsidRDefault="001E4D86" w:rsidP="001E4D86">
      <w:pPr>
        <w:spacing w:after="0" w:line="360" w:lineRule="auto"/>
        <w:jc w:val="both"/>
      </w:pPr>
    </w:p>
    <w:p w14:paraId="16E77AA9" w14:textId="77777777" w:rsidR="001E4D86" w:rsidRDefault="001E4D86" w:rsidP="001E4D86">
      <w:pPr>
        <w:spacing w:after="0" w:line="360" w:lineRule="auto"/>
        <w:jc w:val="both"/>
      </w:pPr>
      <w:r>
        <w:t xml:space="preserve">Em atendimento ao pedido de esclarecimento feito de forma tempestiva, informamos o quanto segue: </w:t>
      </w:r>
    </w:p>
    <w:p w14:paraId="04AA6991" w14:textId="77777777" w:rsidR="001E4D86" w:rsidRDefault="001E4D86" w:rsidP="001E4D86">
      <w:pPr>
        <w:spacing w:after="0" w:line="360" w:lineRule="auto"/>
        <w:jc w:val="both"/>
      </w:pPr>
    </w:p>
    <w:p w14:paraId="02B540A6" w14:textId="77777777" w:rsidR="00250B7F" w:rsidRDefault="00250B7F" w:rsidP="00250B7F">
      <w:pPr>
        <w:pStyle w:val="PargrafodaLista"/>
        <w:numPr>
          <w:ilvl w:val="0"/>
          <w:numId w:val="4"/>
        </w:numPr>
        <w:tabs>
          <w:tab w:val="left" w:pos="284"/>
        </w:tabs>
        <w:spacing w:after="0" w:line="360" w:lineRule="auto"/>
        <w:ind w:hanging="720"/>
        <w:jc w:val="both"/>
        <w:rPr>
          <w:rFonts w:ascii="Aptos" w:hAnsi="Aptos"/>
          <w:color w:val="000000"/>
          <w:shd w:val="clear" w:color="auto" w:fill="FFFFFF"/>
        </w:rPr>
      </w:pPr>
      <w:r w:rsidRPr="00250B7F">
        <w:rPr>
          <w:rFonts w:ascii="Aptos" w:hAnsi="Aptos"/>
          <w:color w:val="000000"/>
          <w:shd w:val="clear" w:color="auto" w:fill="FFFFFF"/>
        </w:rPr>
        <w:t>Estão corretos.</w:t>
      </w:r>
    </w:p>
    <w:p w14:paraId="5A8A5CD1" w14:textId="55CF09BB" w:rsidR="00250B7F" w:rsidRDefault="00250B7F" w:rsidP="00250B7F">
      <w:pPr>
        <w:pStyle w:val="PargrafodaLista"/>
        <w:numPr>
          <w:ilvl w:val="0"/>
          <w:numId w:val="4"/>
        </w:numPr>
        <w:tabs>
          <w:tab w:val="left" w:pos="284"/>
        </w:tabs>
        <w:spacing w:after="0" w:line="360" w:lineRule="auto"/>
        <w:ind w:hanging="720"/>
        <w:jc w:val="both"/>
        <w:rPr>
          <w:rFonts w:ascii="Aptos" w:hAnsi="Aptos"/>
          <w:color w:val="000000"/>
          <w:shd w:val="clear" w:color="auto" w:fill="FFFFFF"/>
        </w:rPr>
      </w:pPr>
      <w:r w:rsidRPr="00250B7F">
        <w:rPr>
          <w:rFonts w:ascii="Aptos" w:hAnsi="Aptos"/>
          <w:color w:val="000000"/>
          <w:shd w:val="clear" w:color="auto" w:fill="FFFFFF"/>
        </w:rPr>
        <w:t> Sim, atende.</w:t>
      </w:r>
    </w:p>
    <w:p w14:paraId="41101676" w14:textId="77777777" w:rsidR="00250B7F" w:rsidRDefault="00250B7F" w:rsidP="00250B7F">
      <w:pPr>
        <w:pStyle w:val="PargrafodaLista"/>
        <w:numPr>
          <w:ilvl w:val="0"/>
          <w:numId w:val="4"/>
        </w:numPr>
        <w:spacing w:after="0" w:line="360" w:lineRule="auto"/>
        <w:ind w:left="284" w:hanging="284"/>
        <w:jc w:val="both"/>
        <w:rPr>
          <w:rFonts w:ascii="Aptos" w:hAnsi="Aptos"/>
          <w:color w:val="000000"/>
          <w:shd w:val="clear" w:color="auto" w:fill="FFFFFF"/>
        </w:rPr>
      </w:pPr>
      <w:r w:rsidRPr="00250B7F">
        <w:rPr>
          <w:rFonts w:ascii="Aptos" w:hAnsi="Aptos"/>
          <w:color w:val="000000"/>
          <w:shd w:val="clear" w:color="auto" w:fill="FFFFFF"/>
        </w:rPr>
        <w:t>Estão corretos.</w:t>
      </w:r>
    </w:p>
    <w:p w14:paraId="1AAE060D" w14:textId="72FBCDB9" w:rsidR="00250B7F" w:rsidRPr="00250B7F" w:rsidRDefault="00250B7F" w:rsidP="00250B7F">
      <w:pPr>
        <w:pStyle w:val="PargrafodaLista"/>
        <w:numPr>
          <w:ilvl w:val="0"/>
          <w:numId w:val="4"/>
        </w:numPr>
        <w:spacing w:after="0" w:line="360" w:lineRule="auto"/>
        <w:ind w:left="284" w:hanging="284"/>
        <w:jc w:val="both"/>
        <w:rPr>
          <w:rFonts w:ascii="Aptos" w:hAnsi="Aptos"/>
          <w:color w:val="000000"/>
          <w:shd w:val="clear" w:color="auto" w:fill="FFFFFF"/>
        </w:rPr>
      </w:pPr>
      <w:r w:rsidRPr="00250B7F">
        <w:rPr>
          <w:rFonts w:ascii="Aptos" w:hAnsi="Aptos"/>
          <w:color w:val="000000"/>
          <w:shd w:val="clear" w:color="auto" w:fill="FFFFFF"/>
        </w:rPr>
        <w:t>Será mantida a distância de 100 km, visto a dinâmica de trabalho da Fundação ITESP, considerando ainda que normalmente os veículos são abastecidos durante os trajetos das viagens e não na origem. Também é necessário considerar que eventualmente existem postos que deixam de operar com os sistemas e não comunicam a credenciada, sendo necessário o prosseguimento da viagem buscando outro estabelecimento.</w:t>
      </w:r>
    </w:p>
    <w:sectPr w:rsidR="00250B7F" w:rsidRPr="00250B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7050"/>
    <w:multiLevelType w:val="hybridMultilevel"/>
    <w:tmpl w:val="3A40FAE8"/>
    <w:lvl w:ilvl="0" w:tplc="FFFFFFFF">
      <w:start w:val="1"/>
      <w:numFmt w:val="decimal"/>
      <w:lvlText w:val="%1-"/>
      <w:lvlJc w:val="left"/>
      <w:pPr>
        <w:ind w:left="720" w:hanging="360"/>
      </w:pPr>
      <w:rPr>
        <w:rFonts w:ascii="Aptos" w:eastAsiaTheme="minorHAnsi" w:hAnsi="Aptos" w:cstheme="minorBid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4C0F19"/>
    <w:multiLevelType w:val="multilevel"/>
    <w:tmpl w:val="3A40FAE8"/>
    <w:styleLink w:val="Listaatual1"/>
    <w:lvl w:ilvl="0">
      <w:start w:val="1"/>
      <w:numFmt w:val="decimal"/>
      <w:lvlText w:val="%1-"/>
      <w:lvlJc w:val="left"/>
      <w:pPr>
        <w:ind w:left="720" w:hanging="360"/>
      </w:pPr>
      <w:rPr>
        <w:rFonts w:ascii="Aptos" w:eastAsiaTheme="minorHAnsi" w:hAnsi="Aptos" w:cstheme="minorBidi"/>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6B0863"/>
    <w:multiLevelType w:val="hybridMultilevel"/>
    <w:tmpl w:val="82DCADD4"/>
    <w:lvl w:ilvl="0" w:tplc="3E78FA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DE529FB"/>
    <w:multiLevelType w:val="hybridMultilevel"/>
    <w:tmpl w:val="16228F5A"/>
    <w:lvl w:ilvl="0" w:tplc="E57EC428">
      <w:start w:val="1"/>
      <w:numFmt w:val="decimal"/>
      <w:lvlText w:val="%1)"/>
      <w:lvlJc w:val="left"/>
      <w:pPr>
        <w:ind w:left="720" w:hanging="360"/>
      </w:pPr>
      <w:rPr>
        <w:rFonts w:ascii="Aptos" w:eastAsiaTheme="minorHAnsi" w:hAnsi="Aptos" w:cstheme="minorBidi"/>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68410509">
    <w:abstractNumId w:val="3"/>
  </w:num>
  <w:num w:numId="2" w16cid:durableId="1974285237">
    <w:abstractNumId w:val="1"/>
  </w:num>
  <w:num w:numId="3" w16cid:durableId="2094817232">
    <w:abstractNumId w:val="0"/>
  </w:num>
  <w:num w:numId="4" w16cid:durableId="1068261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BB"/>
    <w:rsid w:val="001E4D86"/>
    <w:rsid w:val="00250B7F"/>
    <w:rsid w:val="00283C89"/>
    <w:rsid w:val="00B03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AC99"/>
  <w15:chartTrackingRefBased/>
  <w15:docId w15:val="{FAB929C7-620D-4092-B7E9-5EDE0C3F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03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03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036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036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036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036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036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036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036BB"/>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036B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036B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036B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036B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036B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036B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036B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036B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036BB"/>
    <w:rPr>
      <w:rFonts w:eastAsiaTheme="majorEastAsia" w:cstheme="majorBidi"/>
      <w:color w:val="272727" w:themeColor="text1" w:themeTint="D8"/>
    </w:rPr>
  </w:style>
  <w:style w:type="paragraph" w:styleId="Ttulo">
    <w:name w:val="Title"/>
    <w:basedOn w:val="Normal"/>
    <w:next w:val="Normal"/>
    <w:link w:val="TtuloChar"/>
    <w:uiPriority w:val="10"/>
    <w:qFormat/>
    <w:rsid w:val="00B03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036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036B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036B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036BB"/>
    <w:pPr>
      <w:spacing w:before="160"/>
      <w:jc w:val="center"/>
    </w:pPr>
    <w:rPr>
      <w:i/>
      <w:iCs/>
      <w:color w:val="404040" w:themeColor="text1" w:themeTint="BF"/>
    </w:rPr>
  </w:style>
  <w:style w:type="character" w:customStyle="1" w:styleId="CitaoChar">
    <w:name w:val="Citação Char"/>
    <w:basedOn w:val="Fontepargpadro"/>
    <w:link w:val="Citao"/>
    <w:uiPriority w:val="29"/>
    <w:rsid w:val="00B036BB"/>
    <w:rPr>
      <w:i/>
      <w:iCs/>
      <w:color w:val="404040" w:themeColor="text1" w:themeTint="BF"/>
    </w:rPr>
  </w:style>
  <w:style w:type="paragraph" w:styleId="PargrafodaLista">
    <w:name w:val="List Paragraph"/>
    <w:basedOn w:val="Normal"/>
    <w:uiPriority w:val="34"/>
    <w:qFormat/>
    <w:rsid w:val="00B036BB"/>
    <w:pPr>
      <w:ind w:left="720"/>
      <w:contextualSpacing/>
    </w:pPr>
  </w:style>
  <w:style w:type="character" w:styleId="nfaseIntensa">
    <w:name w:val="Intense Emphasis"/>
    <w:basedOn w:val="Fontepargpadro"/>
    <w:uiPriority w:val="21"/>
    <w:qFormat/>
    <w:rsid w:val="00B036BB"/>
    <w:rPr>
      <w:i/>
      <w:iCs/>
      <w:color w:val="0F4761" w:themeColor="accent1" w:themeShade="BF"/>
    </w:rPr>
  </w:style>
  <w:style w:type="paragraph" w:styleId="CitaoIntensa">
    <w:name w:val="Intense Quote"/>
    <w:basedOn w:val="Normal"/>
    <w:next w:val="Normal"/>
    <w:link w:val="CitaoIntensaChar"/>
    <w:uiPriority w:val="30"/>
    <w:qFormat/>
    <w:rsid w:val="00B03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036BB"/>
    <w:rPr>
      <w:i/>
      <w:iCs/>
      <w:color w:val="0F4761" w:themeColor="accent1" w:themeShade="BF"/>
    </w:rPr>
  </w:style>
  <w:style w:type="character" w:styleId="RefernciaIntensa">
    <w:name w:val="Intense Reference"/>
    <w:basedOn w:val="Fontepargpadro"/>
    <w:uiPriority w:val="32"/>
    <w:qFormat/>
    <w:rsid w:val="00B036BB"/>
    <w:rPr>
      <w:b/>
      <w:bCs/>
      <w:smallCaps/>
      <w:color w:val="0F4761" w:themeColor="accent1" w:themeShade="BF"/>
      <w:spacing w:val="5"/>
    </w:rPr>
  </w:style>
  <w:style w:type="numbering" w:customStyle="1" w:styleId="Listaatual1">
    <w:name w:val="Lista atual1"/>
    <w:uiPriority w:val="99"/>
    <w:rsid w:val="00250B7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8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693</Words>
  <Characters>3744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Soares Coutinho</dc:creator>
  <cp:keywords/>
  <dc:description/>
  <cp:lastModifiedBy>Sara Soares Coutinho</cp:lastModifiedBy>
  <cp:revision>1</cp:revision>
  <dcterms:created xsi:type="dcterms:W3CDTF">2024-05-08T14:32:00Z</dcterms:created>
  <dcterms:modified xsi:type="dcterms:W3CDTF">2024-05-08T15:43:00Z</dcterms:modified>
</cp:coreProperties>
</file>